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embeddings/Microsoft_Excel_Worksheet9.xlsx" ContentType="application/vnd.openxmlformats-officedocument.spreadsheetml.sheet"/>
  <Override PartName="/word/embeddings/Microsoft_Excel_Worksheet10.xlsx" ContentType="application/vnd.openxmlformats-officedocument.spreadsheetml.sheet"/>
  <Override PartName="/word/embeddings/Microsoft_Excel_Worksheet4.xlsx" ContentType="application/vnd.openxmlformats-officedocument.spreadsheetml.sheet"/>
  <Override PartName="/word/embeddings/Microsoft_Excel_Worksheet5.xlsx" ContentType="application/vnd.openxmlformats-officedocument.spreadsheetml.sheet"/>
  <Override PartName="/word/embeddings/Microsoft_Excel_Worksheet8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6.xlsx" ContentType="application/vnd.openxmlformats-officedocument.spreadsheetml.sheet"/>
  <Override PartName="/word/embeddings/Microsoft_Excel_Worksheet1.xlsx" ContentType="application/vnd.openxmlformats-officedocument.spreadsheetml.sheet"/>
  <Override PartName="/word/embeddings/Microsoft_Excel_Worksheet2.xlsx" ContentType="application/vnd.openxmlformats-officedocument.spreadsheetml.sheet"/>
  <Override PartName="/word/embeddings/Microsoft_Excel_Worksheet7.xlsx" ContentType="application/vnd.openxmlformats-officedocument.spreadsheetml.sheet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8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34" w:right="-57" w:hanging="0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  <w:t>АНАЛИЗ ДЕЯТЕЛЬНОСТИ</w:t>
      </w:r>
    </w:p>
    <w:p>
      <w:pPr>
        <w:pStyle w:val="NoSpacing"/>
        <w:ind w:left="34" w:right="-57" w:hanging="0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  <w:t xml:space="preserve">ПО УНД и ПР </w:t>
      </w:r>
    </w:p>
    <w:p>
      <w:pPr>
        <w:pStyle w:val="NoSpacing"/>
        <w:ind w:left="34" w:right="-57" w:hanging="0"/>
        <w:jc w:val="center"/>
        <w:rPr>
          <w:i/>
          <w:i/>
          <w:sz w:val="24"/>
          <w:szCs w:val="28"/>
        </w:rPr>
      </w:pPr>
      <w:r>
        <w:rPr>
          <w:b/>
          <w:sz w:val="36"/>
          <w:szCs w:val="28"/>
          <w:lang w:val="en-US"/>
        </w:rPr>
        <w:t>I</w:t>
      </w:r>
      <w:r>
        <w:rPr>
          <w:b/>
          <w:sz w:val="36"/>
          <w:szCs w:val="28"/>
        </w:rPr>
        <w:t>-</w:t>
      </w:r>
      <w:r>
        <w:rPr>
          <w:b/>
          <w:sz w:val="36"/>
          <w:szCs w:val="28"/>
          <w:lang w:val="en-US"/>
        </w:rPr>
        <w:t>III</w:t>
      </w:r>
      <w:r>
        <w:rPr>
          <w:b/>
          <w:sz w:val="36"/>
          <w:szCs w:val="28"/>
        </w:rPr>
        <w:t xml:space="preserve"> квартала 2022 года</w:t>
      </w:r>
    </w:p>
    <w:p>
      <w:pPr>
        <w:pStyle w:val="3"/>
        <w:ind w:left="34" w:hanging="0"/>
        <w:rPr>
          <w:rFonts w:cs="Times New Roman"/>
        </w:rPr>
      </w:pPr>
      <w:r>
        <w:rPr/>
      </w:r>
    </w:p>
    <w:p>
      <w:pPr>
        <w:pStyle w:val="3"/>
        <w:ind w:left="34" w:hanging="0"/>
        <w:rPr>
          <w:rFonts w:cs="Times New Roman"/>
        </w:rPr>
      </w:pPr>
      <w:r>
        <w:rPr>
          <w:rFonts w:cs="Times New Roman"/>
        </w:rPr>
        <w:t>Пожары</w:t>
      </w:r>
    </w:p>
    <w:p>
      <w:pPr>
        <w:pStyle w:val="Normal"/>
        <w:ind w:left="34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зарегистрировано 2636 </w:t>
      </w:r>
      <w:r>
        <w:rPr>
          <w:bCs/>
          <w:sz w:val="28"/>
          <w:szCs w:val="28"/>
        </w:rPr>
        <w:t>пожаров</w:t>
      </w:r>
      <w:r>
        <w:rPr>
          <w:sz w:val="28"/>
          <w:szCs w:val="28"/>
        </w:rPr>
        <w:t xml:space="preserve"> (АППГ: 3908).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Количество погибших на пожарах 57 </w:t>
      </w:r>
      <w:r>
        <w:rPr>
          <w:sz w:val="28"/>
          <w:szCs w:val="28"/>
        </w:rPr>
        <w:t xml:space="preserve">(АППГ: 51), в том числе несовершеннолетних </w:t>
      </w:r>
      <w:r>
        <w:rPr>
          <w:bCs/>
          <w:sz w:val="28"/>
          <w:szCs w:val="28"/>
        </w:rPr>
        <w:t xml:space="preserve">0 </w:t>
      </w:r>
      <w:r>
        <w:rPr>
          <w:sz w:val="28"/>
          <w:szCs w:val="28"/>
        </w:rPr>
        <w:t>(АППГ: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Количество травмированных на пожарах 17 </w:t>
      </w:r>
      <w:r>
        <w:rPr>
          <w:sz w:val="28"/>
          <w:szCs w:val="28"/>
        </w:rPr>
        <w:t>(АППГ: 22), в том числе несовершеннолетних</w:t>
      </w:r>
      <w:r>
        <w:rPr>
          <w:bCs/>
          <w:sz w:val="28"/>
          <w:szCs w:val="28"/>
        </w:rPr>
        <w:t xml:space="preserve"> 1 </w:t>
      </w:r>
      <w:r>
        <w:rPr>
          <w:sz w:val="28"/>
          <w:szCs w:val="28"/>
        </w:rPr>
        <w:t>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</w:t>
      </w:r>
      <w:r>
        <w:rPr>
          <w:bCs/>
          <w:sz w:val="28"/>
          <w:szCs w:val="28"/>
        </w:rPr>
        <w:t xml:space="preserve"> на пожарах 106 </w:t>
      </w:r>
      <w:r>
        <w:rPr>
          <w:sz w:val="28"/>
          <w:szCs w:val="28"/>
        </w:rPr>
        <w:t>(АППГ: 123).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эвакуированных на пожарах </w:t>
      </w:r>
      <w:r>
        <w:rPr>
          <w:bCs/>
          <w:sz w:val="28"/>
          <w:szCs w:val="28"/>
        </w:rPr>
        <w:t xml:space="preserve">237 </w:t>
      </w:r>
      <w:r>
        <w:rPr>
          <w:sz w:val="28"/>
          <w:szCs w:val="28"/>
        </w:rPr>
        <w:t>(АППГ: 274).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в зданиях учебно-воспитательного назначения</w:t>
        <w:br/>
      </w:r>
      <w:r>
        <w:rPr>
          <w:bCs/>
          <w:sz w:val="28"/>
          <w:szCs w:val="28"/>
        </w:rPr>
        <w:t xml:space="preserve">0 </w:t>
      </w:r>
      <w:r>
        <w:rPr>
          <w:sz w:val="28"/>
          <w:szCs w:val="28"/>
        </w:rPr>
        <w:t>(АППГ: 1).</w:t>
      </w:r>
      <w:r>
        <w:rPr/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5C7C757A">
                <wp:simplePos x="0" y="0"/>
                <wp:positionH relativeFrom="column">
                  <wp:posOffset>1019810</wp:posOffset>
                </wp:positionH>
                <wp:positionV relativeFrom="paragraph">
                  <wp:posOffset>245110</wp:posOffset>
                </wp:positionV>
                <wp:extent cx="854075" cy="302260"/>
                <wp:effectExtent l="57150" t="38100" r="80010" b="98425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3016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+mn-cs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АППГ</w:t>
                              <w:br/>
                              <w:t>-1272 (-32,55%)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00b050" stroked="t" style="position:absolute;margin-left:80.3pt;margin-top:19.3pt;width:67.15pt;height:23.7pt" wp14:anchorId="5C7C757A">
                <w10:wrap type="square"/>
                <v:fill o:detectmouseclick="t" type="solid" color2="#ff4faf"/>
                <v:stroke color="black" weight="3240" joinstyle="round" endcap="flat"/>
                <v:shadow on="t" obscured="f" color="black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+mn-cs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  <w:t>АППГ</w:t>
                        <w:br/>
                        <w:t>-1272 (-32,55%)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736D4A21">
                <wp:simplePos x="0" y="0"/>
                <wp:positionH relativeFrom="column">
                  <wp:posOffset>1278890</wp:posOffset>
                </wp:positionH>
                <wp:positionV relativeFrom="paragraph">
                  <wp:posOffset>626110</wp:posOffset>
                </wp:positionV>
                <wp:extent cx="313690" cy="409575"/>
                <wp:effectExtent l="19050" t="0" r="10795" b="29210"/>
                <wp:wrapNone/>
                <wp:docPr id="3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" cy="4089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1" fillcolor="#00b050" stroked="t" style="position:absolute;margin-left:100.7pt;margin-top:49.3pt;width:24.6pt;height:32.15pt" wp14:anchorId="736D4A21" type="shapetype_67">
                <w10:wrap type="none"/>
                <v:fill o:detectmouseclick="t" type="solid" color2="#ff4faf"/>
                <v:stroke color="black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492D0FB1">
                <wp:simplePos x="0" y="0"/>
                <wp:positionH relativeFrom="column">
                  <wp:posOffset>4393565</wp:posOffset>
                </wp:positionH>
                <wp:positionV relativeFrom="paragraph">
                  <wp:posOffset>1331595</wp:posOffset>
                </wp:positionV>
                <wp:extent cx="313690" cy="409575"/>
                <wp:effectExtent l="19050" t="0" r="10795" b="29210"/>
                <wp:wrapNone/>
                <wp:docPr id="4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" cy="4089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" fillcolor="#00b050" stroked="t" style="position:absolute;margin-left:345.95pt;margin-top:104.85pt;width:24.6pt;height:32.15pt" wp14:anchorId="492D0FB1" type="shapetype_67">
                <w10:wrap type="none"/>
                <v:fill o:detectmouseclick="t" type="solid" color2="#ff4faf"/>
                <v:stroke color="black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698ECA5D">
                <wp:simplePos x="0" y="0"/>
                <wp:positionH relativeFrom="column">
                  <wp:posOffset>4182110</wp:posOffset>
                </wp:positionH>
                <wp:positionV relativeFrom="paragraph">
                  <wp:posOffset>976630</wp:posOffset>
                </wp:positionV>
                <wp:extent cx="755015" cy="301625"/>
                <wp:effectExtent l="57150" t="38100" r="83820" b="99060"/>
                <wp:wrapNone/>
                <wp:docPr id="5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0" cy="300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+mn-cs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АППГ</w:t>
                              <w:br/>
                              <w:t>- 17 ( -13,82%)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#00b050" stroked="t" style="position:absolute;margin-left:329.3pt;margin-top:76.9pt;width:59.35pt;height:23.65pt" wp14:anchorId="698ECA5D">
                <w10:wrap type="square"/>
                <v:fill o:detectmouseclick="t" type="solid" color2="#ff4faf"/>
                <v:stroke color="black" weight="3240" joinstyle="round" endcap="flat"/>
                <v:shadow on="t" obscured="f" color="black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+mn-cs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  <w:t>АППГ</w:t>
                        <w:br/>
                        <w:t>- 17 ( -13,82%)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7D9D2A15">
                <wp:simplePos x="0" y="0"/>
                <wp:positionH relativeFrom="column">
                  <wp:posOffset>5559425</wp:posOffset>
                </wp:positionH>
                <wp:positionV relativeFrom="paragraph">
                  <wp:posOffset>1337945</wp:posOffset>
                </wp:positionV>
                <wp:extent cx="313690" cy="409575"/>
                <wp:effectExtent l="19050" t="0" r="10795" b="29210"/>
                <wp:wrapNone/>
                <wp:docPr id="7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" cy="4089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" fillcolor="#00b050" stroked="t" style="position:absolute;margin-left:437.75pt;margin-top:105.35pt;width:24.6pt;height:32.15pt" wp14:anchorId="7D9D2A15" type="shapetype_67">
                <w10:wrap type="none"/>
                <v:fill o:detectmouseclick="t" type="solid" color2="#ff4faf"/>
                <v:stroke color="black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67B7CD17">
                <wp:simplePos x="0" y="0"/>
                <wp:positionH relativeFrom="column">
                  <wp:posOffset>5325110</wp:posOffset>
                </wp:positionH>
                <wp:positionV relativeFrom="paragraph">
                  <wp:posOffset>976630</wp:posOffset>
                </wp:positionV>
                <wp:extent cx="755015" cy="301625"/>
                <wp:effectExtent l="57150" t="38100" r="83820" b="99060"/>
                <wp:wrapNone/>
                <wp:docPr id="8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0" cy="300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+mn-cs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АППГ</w:t>
                              <w:br/>
                              <w:t>- 37 ( -13,50%)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#00b050" stroked="t" style="position:absolute;margin-left:419.3pt;margin-top:76.9pt;width:59.35pt;height:23.65pt" wp14:anchorId="67B7CD17">
                <w10:wrap type="square"/>
                <v:fill o:detectmouseclick="t" type="solid" color2="#ff4faf"/>
                <v:stroke color="black" weight="3240" joinstyle="round" endcap="flat"/>
                <v:shadow on="t" obscured="f" color="black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+mn-cs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  <w:t>АППГ</w:t>
                        <w:br/>
                        <w:t>- 37 ( -13,50%)</w:t>
                      </w:r>
                    </w:p>
                  </w:txbxContent>
                </v:textbox>
              </v:rect>
            </w:pict>
          </mc:Fallback>
        </mc:AlternateContent>
        <w:drawing>
          <wp:inline distT="0" distB="0" distL="0" distR="0">
            <wp:extent cx="6219825" cy="2771775"/>
            <wp:effectExtent l="0" t="0" r="0" b="0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>Рисунок 2. Количество пожаров и их последствий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в зданиях здравоохранения и социального обслуживания населения 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(АППГ: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на поднадзорных объектах защиты с гибелью</w:t>
        <w:br/>
        <w:t xml:space="preserve">3 и более человек (за исключением жилого сектора) </w:t>
      </w:r>
      <w:r>
        <w:rPr>
          <w:bCs/>
          <w:sz w:val="28"/>
          <w:szCs w:val="28"/>
        </w:rPr>
        <w:t xml:space="preserve">0 </w:t>
      </w:r>
      <w:r>
        <w:rPr>
          <w:sz w:val="28"/>
          <w:szCs w:val="28"/>
        </w:rPr>
        <w:t>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на объектах с массовым пребыванием людей</w:t>
        <w:br/>
        <w:t xml:space="preserve">с гибелью 10 и более человек </w:t>
      </w:r>
      <w:r>
        <w:rPr>
          <w:i/>
          <w:sz w:val="28"/>
          <w:szCs w:val="28"/>
        </w:rPr>
        <w:t>(за исключением пожаров в зданиях</w:t>
        <w:br/>
        <w:t>учебно-воспитательного назначения, здравоохранения и социального обслуживания населения)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 </w:t>
      </w:r>
      <w:r>
        <w:rPr>
          <w:sz w:val="28"/>
          <w:szCs w:val="28"/>
        </w:rPr>
        <w:t>(АППГ: 0).</w:t>
      </w:r>
    </w:p>
    <w:p>
      <w:pPr>
        <w:pStyle w:val="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Количество пожаров с гибелью несовершеннолетних при пожарах</w:t>
        <w:br/>
        <w:t>на поднадзорных объектах защиты (за исключением жилого сектора)</w:t>
        <w:br/>
      </w:r>
      <w:r>
        <w:rPr>
          <w:bCs/>
          <w:sz w:val="28"/>
          <w:szCs w:val="28"/>
        </w:rPr>
        <w:t xml:space="preserve">0 </w:t>
      </w:r>
      <w:r>
        <w:rPr>
          <w:sz w:val="28"/>
          <w:szCs w:val="28"/>
        </w:rPr>
        <w:t>(АППГ: 0).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2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6B45DD08">
                <wp:simplePos x="0" y="0"/>
                <wp:positionH relativeFrom="column">
                  <wp:posOffset>1866265</wp:posOffset>
                </wp:positionH>
                <wp:positionV relativeFrom="paragraph">
                  <wp:posOffset>1054100</wp:posOffset>
                </wp:positionV>
                <wp:extent cx="667385" cy="302260"/>
                <wp:effectExtent l="57150" t="38100" r="76200" b="98425"/>
                <wp:wrapNone/>
                <wp:docPr id="1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3016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240"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cstheme="minorBidi"/>
                                <w:b/>
                                <w:bCs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АППГ</w:t>
                              <w:br/>
                              <w:t>0 (0%)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00b050" stroked="t" style="position:absolute;margin-left:146.95pt;margin-top:83pt;width:52.45pt;height:23.7pt" wp14:anchorId="6B45DD08">
                <w10:wrap type="square"/>
                <v:fill o:detectmouseclick="t" type="solid" color2="#ff4faf"/>
                <v:stroke color="black" weight="3240" joinstyle="round" endcap="flat"/>
                <v:shadow on="t" obscured="f" color="black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cs="" w:cstheme="minorBidi"/>
                          <w:b/>
                          <w:bCs/>
                          <w:color w:val="000000"/>
                          <w:kern w:val="2"/>
                          <w:sz w:val="18"/>
                          <w:szCs w:val="18"/>
                        </w:rPr>
                        <w:t>АППГ</w:t>
                        <w:br/>
                        <w:t>0 (0%)</w:t>
                      </w:r>
                    </w:p>
                  </w:txbxContent>
                </v:textbox>
              </v:rect>
            </w:pict>
          </mc:Fallback>
        </mc:AlternateContent>
        <w:drawing>
          <wp:inline distT="0" distB="0" distL="0" distR="0">
            <wp:extent cx="6219825" cy="2771775"/>
            <wp:effectExtent l="0" t="0" r="0" b="0"/>
            <wp:docPr id="1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jc w:val="center"/>
        <w:rPr>
          <w:rFonts w:eastAsia="Calibri" w:eastAsiaTheme="minorHAnsi"/>
          <w:bCs/>
          <w:szCs w:val="28"/>
          <w:lang w:eastAsia="en-US"/>
        </w:rPr>
      </w:pPr>
      <w:r>
        <w:rPr>
          <w:rFonts w:eastAsia="Calibri" w:eastAsiaTheme="minorHAnsi"/>
          <w:bCs/>
          <w:szCs w:val="28"/>
          <w:lang w:eastAsia="en-US"/>
        </w:rPr>
        <w:t>Рисунок 3. Обстановка с пожарами и их последствиями на территории</w:t>
        <w:br/>
        <w:t>субъекта Российской Федерации</w:t>
      </w:r>
    </w:p>
    <w:p>
      <w:pPr>
        <w:pStyle w:val="Normal"/>
        <w:ind w:firstLine="709"/>
        <w:jc w:val="center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Normal"/>
        <w:ind w:firstLine="709"/>
        <w:jc w:val="center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3"/>
        <w:rPr>
          <w:rFonts w:cs="Times New Roman"/>
          <w:sz w:val="32"/>
          <w:szCs w:val="28"/>
        </w:rPr>
      </w:pPr>
      <w:r>
        <w:rPr>
          <w:rFonts w:cs="Times New Roman"/>
        </w:rPr>
        <w:t>Осуществление надзорной деятельности и профилактической работы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4"/>
        <w:rPr>
          <w:rFonts w:cs="Times New Roman"/>
        </w:rPr>
      </w:pPr>
      <w:r>
        <w:rPr>
          <w:rFonts w:cs="Times New Roman"/>
        </w:rPr>
        <w:t xml:space="preserve">Осуществление федерального государственного </w:t>
      </w:r>
      <w:r>
        <w:rPr>
          <w:szCs w:val="28"/>
        </w:rPr>
        <w:t>пожарного</w:t>
      </w:r>
      <w:r>
        <w:rPr>
          <w:rFonts w:cs="Times New Roman"/>
        </w:rPr>
        <w:t xml:space="preserve"> надзора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Штатная численность инспекторского состава органов государственного пожарного надзора ГУ МЧС России по субъекту Российской Федерации 120 (АППГ: 121).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фактически занятых штатных единиц, осуществляющих функции федерального государственного пожарного надзора в ГУ МЧС России</w:t>
        <w:br/>
        <w:t>по субъекту Российской Федерации 112 (АППГ: 104).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штатных единиц, осуществляющих федеральный государственный пожарный надзор, прошедших в течение последних 3 лет программы переобучения или повышения квалификации, 62 (АППГ: 62).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Осуществление надзорной деятельности и профилактической работы</w:t>
      </w:r>
      <w:r>
        <w:rPr>
          <w:sz w:val="28"/>
          <w:szCs w:val="28"/>
        </w:rPr>
        <w:t xml:space="preserve"> характеризуется следующими показателями: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контрольных (надзорных) мероприятий противопожарного состояния объектов надзора 649 (АППГ: 942);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навыками, 265 (АППГ: 172);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организованных совместных рейдов по местам проживания многодетных семей, одиноко проживающих пенсионеров и инвалидов, социально неадаптированных граждан с представителями органов внутренних дел</w:t>
        <w:br/>
        <w:t>14632 (АППГ: 13806);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принятых решений об устранении контролируемыми лицами выявленных нарушений требований пожарной безопасности и о восстановлении нарушенного положения (выдано предписаний) 0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рассмотренных вопросов, связанных с исполнением решения </w:t>
        <w:br/>
        <w:t>по результатам проведенных контрольных (надзорных) мероприятий,</w:t>
        <w:br/>
        <w:t>0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осуществленных профилактических мероприятий в форме профилактического визита 2380 (АППГ: 529);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осуществленных профилактических мероприятий в форме информирования 777 (АППГ: 512);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осуществленных профилактических мероприятий в форме консультирования 1074 (АППГ: 1402);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осуществленных профилактических мероприятий в форме объявления предостережения 299 (АППГ: 154);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мест проживания многодетных семей и семей, находящихся </w:t>
        <w:br/>
        <w:t>в трудной жизненной ситуации, 11928 (АППГ: 11011);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мест проживания многодетных семей и семей, находящихся </w:t>
        <w:br/>
        <w:t>в трудной жизненной ситуации, оборудованных за счет бюджетов всех уровней автономными дымовыми пожарными извещателями, 8422 (АППГ: 6815);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поднадзорных объектов (без учета объектов категории низкого риска) 8453 (АППГ: 9186);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защиты, по которым было принято решение </w:t>
        <w:br/>
        <w:t>об изменении категории риска на более низкую категорию, 1113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отмененных (измененных) незаконных и (или) необоснованных решений, принятых нижестоящими государственными инспекторами </w:t>
        <w:br/>
        <w:t>по пожарному надзору, 0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требований пожарной безопасности, выявленных при проведении контрольных (надзорных) мероприятий,</w:t>
        <w:br/>
        <w:t>1312 (АППГ: 3366);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принятых органами прокуратуры решений о согласовании проведения внепланового контрольного (надзорного) мероприятия</w:t>
        <w:br/>
        <w:t>36 (АППГ: 50);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принятых органами прокуратуры решений об отказе </w:t>
        <w:br/>
        <w:t>в согласовании проведения внепланового контрольного (надзорного) мероприятия в связи с отсутствием основания 67 (АППГ: 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внесенных органами прокуратуры представлений </w:t>
        <w:br/>
        <w:t>об устранении нарушений, связанных с осуществлением федерального государственного пожарного надзора, 2 (АППГ: 3);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служебных проверок по основанию грубого нарушения требований к организации и осуществлению федерального государственного пожарного надзора в отношении инспекторского состава органов государственного пожарного надзора ГУ МЧС России по субъекту </w:t>
        <w:br/>
        <w:t>Российской Федерации 0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судебных заседаний (слушаний), проведенных с участием органов государственного пожарного надзора, должностных лиц органов государственного пожарного надзора, 11 (АППГ: 44);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проверок объектов надзора, проводимых органами прокуратуры в порядке, установленном Федеральным законом от 17 января 1992 года № 2202-1</w:t>
        <w:br/>
        <w:t>«О прокуратуре Российской Федерации»,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 участием органов государственного пожарного надзора, должностных лиц органов государственного пожарного надзора, 124 (АППГ: 109);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принятых судебными органами решений об отмене контрольных (надзорных) мероприятий 0 (АППГ: 0);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отмененных постановлений о назначении административных наказаний вышестоящими государственными инспекторами по пожарному надзору и судами 0 (АППГ: 0);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обжалованных постановлений о назначении административных наказаний (в органах государственного пожарного надзора в порядке гл. 30 КоАП РФ; в органах государственного пожарного надзора по протестам прокуроров;</w:t>
        <w:br/>
        <w:t>в судах) 1 (АППГ: 0);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постановлений о назначении административных наказаний в виде штрафа 337 (АППГ: 875);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постановлений о назначении административных наказаний в виде предупреждения 608 (АППГ: 581);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исполненных постановлений о назначении административных наказаний в виде штрафа 256 (АППГ: 592);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постановлений, направленных для принудительного взыскания</w:t>
        <w:br/>
        <w:t xml:space="preserve">в ФССП России, </w:t>
      </w:r>
      <w:r>
        <w:rPr>
          <w:sz w:val="28"/>
          <w:szCs w:val="28"/>
        </w:rPr>
        <w:t>15 (АППГ: 16);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количество составленных протоколов об административных правонарушениях по части 1 ст. 20.25 КоАП РФ </w:t>
      </w:r>
      <w:r>
        <w:rPr>
          <w:sz w:val="28"/>
          <w:szCs w:val="28"/>
        </w:rPr>
        <w:t>13 (АППГ: 31);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составленных протоколов за невыполнение предписаний</w:t>
        <w:br/>
        <w:t xml:space="preserve">по частям 12 – 14 ст. 19.5 КоАП РФ </w:t>
      </w:r>
      <w:r>
        <w:rPr>
          <w:sz w:val="28"/>
          <w:szCs w:val="28"/>
        </w:rPr>
        <w:t>50 (АППГ: 85);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на одного государственного инспектора по пожарному надзору 6,96 (АППГ: 13,9);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протоколов об административных правонарушениях в суд для назначения административного наказания в виде административного приостановлении деятельности по ч. 2.1 ст. 20.4 КоАП РФ</w:t>
        <w:br/>
        <w:t>0 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направленных представлений в порядке ст. 29.13 КоАП РФ</w:t>
        <w:br/>
      </w:r>
      <w:r>
        <w:rPr>
          <w:sz w:val="28"/>
          <w:szCs w:val="28"/>
        </w:rPr>
        <w:t xml:space="preserve">331 (АППГ: 640);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возбужденных уголовных дел в отношении должностных лиц, органов государственного пожарного надзора ГУ МЧС России, за преступления, связанные с коррупционными проявлениями, 0 (АППГ: 1);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заполненных полей электронных паспортов объектов в Реестре поднадзорных объектов автоматизированной аналитической системы поддержки</w:t>
        <w:br/>
        <w:t>и управления контрольно-надзорными делами МЧС России (далее – ААС КНД) 929914 единиц;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полей, содержащихся в электронных паспортах объектов в Реестре поднадзорных объектов ААС КНД 1056720 единиц.</w:t>
      </w:r>
    </w:p>
    <w:p>
      <w:pPr>
        <w:pStyle w:val="Normal"/>
        <w:rPr/>
      </w:pPr>
      <w:r>
        <w:rPr/>
      </w:r>
    </w:p>
    <w:p>
      <w:pPr>
        <w:pStyle w:val="4"/>
        <w:rPr/>
      </w:pPr>
      <w:r>
        <w:rPr>
          <w:szCs w:val="28"/>
        </w:rPr>
        <w:t>Осуществление федерального государственного надзора в области защиты населения и территории от чрезвычайных ситуаций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надзора, подлежащих федеральному государственному надзору в области защиты населения и территории от чрезвычайных ситуаций, составило 118 (АППГ: 125), в том числе: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 (АППГ: 42) объектов надзора, отнесенных к категории высокого риска;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 (АППГ: 82) объектов надзора, отнесенных к категории значительного риска;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(АППГ: 0) объектов надзора, отнесенных к категории среднего риска;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(АППГ: 0) объектов надзора, отнесенных к категории низкого риска.</w:t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940425" cy="3590925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19. Количество объектов надзора, подлежащих федеральному государственному надзору в области защиты населения и территории от чрезвычайных ситуаций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запланированных в отчетном периоде плановых контрольных (надзорных) мероприятий в отношении объектов надзора 5 (АППГ: 16).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проведенных плановых контрольных (надзорных) мероприятий</w:t>
        <w:br/>
        <w:t>от всего количества запланированных контрольных (надзорных) мероприятий</w:t>
        <w:br/>
        <w:t>на отчетный период 100 % (АППГ: 100 %).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 отчетном периоде контрольных (надзорных) мероприятий в отношении объектов надзора 5 (АППГ: 21), из них плановых 5 (АППГ: 16) и внеплановых 0 (АППГ: 5).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drawing>
          <wp:inline distT="0" distB="0" distL="0" distR="0">
            <wp:extent cx="6299835" cy="2828925"/>
            <wp:effectExtent l="0" t="0" r="0" b="0"/>
            <wp:docPr id="1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20. Контрольные (надзорные) мероприятия в области защиты населения и территорий от чрезвычайных ситуаций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 по результатам контрольных (надзорных) мероприятий за отчетный период 2 (АППГ: 17).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по результатам контрольных (надзорных) мероприятий за отчетный период 1 (АППГ: 7).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предписаний по результатам контрольных (надзорных) мероприятий за отчетный период составил 0 % (АППГ: 81 %).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не устраненных нарушений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100 % (АППГ: 19 %).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предписаний об устранении нарушений в области защиты населения и территорий от чрезвычайных ситуаций от общего количества выданных предписаний 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прокурорских проверок за отчетный период (количество представлений прокуратуры о нарушении законности)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внесенных органами прокуратуры представлений, связанных </w:t>
        <w:br/>
        <w:t xml:space="preserve">с осуществлением надзорной деятельности в области защиты населения </w:t>
        <w:br/>
        <w:t>и территорий от чрезвычайных ситуации, от общего количества проведенных контрольных (надзорных) мероприятий 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1 (АППГ: 7), из них по части 1 ст. 19.5 КоАП РФ</w:t>
        <w:br/>
        <w:t>0 (АППГ: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на одного государственного инспектора по пожарному надзору 0,02 (АППГ: 0,08).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0 (АППГ: 6), в виде предупреждения 1 (АППГ: 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постановлений о прекращении производства по делам </w:t>
        <w:br/>
        <w:t xml:space="preserve">об административных правонарушениях в области защиты населения </w:t>
        <w:br/>
        <w:t xml:space="preserve">и территорий от чрезвычайных ситуации, вынесенных судами, от общего количества вынесенных судами постановлений за отчетный период </w:t>
        <w:br/>
        <w:t>0 % (АППГ: 0 %).</w:t>
      </w:r>
    </w:p>
    <w:p>
      <w:pPr>
        <w:pStyle w:val="Normal"/>
        <w:widowControl w:val="false"/>
        <w:rPr>
          <w:rFonts w:eastAsia="Courier New"/>
          <w:b/>
          <w:b/>
          <w:bCs/>
          <w:iCs/>
          <w:sz w:val="28"/>
          <w:szCs w:val="28"/>
          <w:lang w:bidi="ru-RU"/>
        </w:rPr>
      </w:pPr>
      <w:r>
        <w:rPr>
          <w:rFonts w:eastAsia="Courier New"/>
          <w:b/>
          <w:bCs/>
          <w:iCs/>
          <w:sz w:val="28"/>
          <w:szCs w:val="28"/>
          <w:lang w:bidi="ru-RU"/>
        </w:rPr>
      </w:r>
    </w:p>
    <w:p>
      <w:pPr>
        <w:pStyle w:val="5"/>
        <w:rPr>
          <w:rFonts w:eastAsia="Courier New" w:cs="Times New Roman"/>
          <w:szCs w:val="28"/>
          <w:lang w:bidi="ru-RU"/>
        </w:rPr>
      </w:pPr>
      <w:r>
        <w:rPr>
          <w:szCs w:val="28"/>
        </w:rPr>
        <w:t xml:space="preserve">Осуществление государственного надзора за реализацией органами государственной власти полномочий в области защиты населения </w:t>
        <w:br/>
        <w:t>и территорий от чрезвычайных ситуаций</w:t>
      </w:r>
    </w:p>
    <w:p>
      <w:pPr>
        <w:pStyle w:val="Normal"/>
        <w:widowControl w:val="false"/>
        <w:jc w:val="center"/>
        <w:rPr>
          <w:rFonts w:eastAsia="Courier New"/>
          <w:b/>
          <w:b/>
          <w:bCs/>
          <w:iCs/>
          <w:sz w:val="28"/>
          <w:szCs w:val="28"/>
          <w:lang w:bidi="ru-RU"/>
        </w:rPr>
      </w:pPr>
      <w:r>
        <w:rPr>
          <w:rFonts w:eastAsia="Courier New"/>
          <w:b/>
          <w:bCs/>
          <w:iCs/>
          <w:sz w:val="28"/>
          <w:szCs w:val="28"/>
          <w:lang w:bidi="ru-RU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надзора, подлежащих государственному надзору</w:t>
        <w:br/>
        <w:t>за реализацией органами государственной власти полномочий в области защиты населения и территорий от чрезвычайных ситуаций, составило 31 (АППГ: 31), в том числе: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(АППГ: 23) территориальных органов федеральных органов исполнительной власти;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(АППГ: 8) органов исполнительной власти субъекта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223635" cy="2783840"/>
            <wp:effectExtent l="0" t="0" r="0" b="0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>Рисунок 21. Количество объектов надзора, подлежащих государственному надзору</w:t>
        <w:br/>
        <w:t xml:space="preserve">за реализацией органами государственной власти полномочий в области защиты населения </w:t>
        <w:br/>
        <w:t>и территорий от чрезвычайных ситуаций</w:t>
        <w:b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запланированных в отчетном периоде плановых проверок</w:t>
        <w:br/>
        <w:t>в отношении объектов надзора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 отчетном периоде проверок в отношении объектов надзора 0 (АППГ: 2), из них плановых 0 (АППГ: 0)</w:t>
        <w:br/>
        <w:t>и внеплановых 0 (АППГ: 2).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346190" cy="2838450"/>
            <wp:effectExtent l="0" t="0" r="0" b="0"/>
            <wp:docPr id="1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22. Проверки в области защиты населения и территорий от чрезвычайных ситуаций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 по результатам проверок за отчетный период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по результатам проверок за отчетный период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предписаний по результатам проверок за отчетный период составил 100 % (АППГ: 100 %).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неустраненных нарушений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внесенных органами прокуратуры представлений, связанных </w:t>
        <w:br/>
        <w:t xml:space="preserve">с осуществлением надзорной деятельности в области защиты населения </w:t>
        <w:br/>
        <w:t>и территорий от чрезвычайных ситуаций, от общего количества проведенных проверок 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0 (АППГ: 0), из них по части 1 ст. 19.5 КоАП РФ</w:t>
        <w:br/>
        <w:t>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0 (АППГ: 0), в виде предупреждения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постановлений о прекращении производства по делам </w:t>
        <w:br/>
        <w:t xml:space="preserve">об административных правонарушениях в области защиты населения </w:t>
        <w:br/>
        <w:t xml:space="preserve">и территорий от чрезвычайных ситуаций, вынесенных судами, от общего количества вынесенных судами постановлений за отчетный период </w:t>
        <w:br/>
        <w:t>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rPr/>
      </w:pPr>
      <w:r>
        <w:rPr/>
      </w:r>
    </w:p>
    <w:p>
      <w:pPr>
        <w:pStyle w:val="4"/>
        <w:rPr/>
      </w:pPr>
      <w:r>
        <w:rPr/>
        <w:t>Осуществление федерального</w:t>
      </w:r>
      <w:r>
        <w:rPr>
          <w:szCs w:val="28"/>
        </w:rPr>
        <w:t xml:space="preserve"> государственного </w:t>
      </w:r>
      <w:r>
        <w:rPr/>
        <w:t xml:space="preserve">надзора в области </w:t>
        <w:br/>
        <w:t>гражданской обороны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надзора, подлежащих государственному надзору </w:t>
        <w:br/>
        <w:t>в области гражданской обороны, составило 704 (АППГ: 250), в том числе: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 (АППГ: 42) объектов надзора, отнесенных к категории высокого риска;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(АППГ: 22) объектов надзора, отнесенных к категории значительного риска;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643 (АППГ: 186) объектов надзора, отнесенных к категории среднего риска;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(АППГ: 0) объектов надзора, отнесенных к категории низкого риска;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 (АППГ: 42) организаций, эксплуатирующих ПОО и КВО.</w:t>
      </w:r>
    </w:p>
    <w:p>
      <w:pPr>
        <w:pStyle w:val="Normal"/>
        <w:ind w:firstLine="709"/>
        <w:jc w:val="both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278245" cy="3166110"/>
            <wp:effectExtent l="0" t="0" r="0" b="0"/>
            <wp:docPr id="1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23. Объекты надзора, подлежащие федеральному государственному надзору</w:t>
        <w:br/>
        <w:t>в области гражданской обороны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запланированных в отчетном периоде плановых контрольных (надзорных) мероприятий в отношении объектов надзора 7 (АППГ: 35).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проведенных плановых контрольных (надзорных) мероприятий</w:t>
        <w:br/>
        <w:t>от всего количества запланированных проверок на отчетный период</w:t>
        <w:br/>
        <w:t>100% (АППГ: 100%).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 отчетном периоде контрольных (надзорных) мероприятий в отношении объектов надзора 10 (АППГ: 48), из них плановых 7 (АППГ: 35) и внеплановых 3 (АППГ: 13).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223635" cy="2497455"/>
            <wp:effectExtent l="0" t="0" r="0" b="0"/>
            <wp:docPr id="1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24. Контрольные (надзорные) мероприятия в области гражданской обороны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 по результатам контрольных (надзорных) мероприятий за отчетный период 26 (АППГ: 147).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по результатам контрольных (надзорных) мероприятий за отчетный период 4 (АППГ: 25).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предписаний по результатам контрольных (надзорных) мероприятий за отчетный период составил 76,9 % (АППГ: 82,6 %).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неустраненных нарушений в области гражданской обороны </w:t>
        <w:br/>
        <w:t>в установленные предписаниями сроки от общего количества выявленных нарушений за отчетный период 23,1 % (АППГ: 17,4 %).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предписаний об устранении нарушений в области гражданской обороны от общего количества выданных предписаний 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прокурорских проверок за отчетный период (количество представлений прокуратуры о нарушении законности)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внесенных органами прокуратуры представлений, связанных </w:t>
        <w:br/>
        <w:t xml:space="preserve">с осуществлением надзорной деятельности в области гражданской обороны, </w:t>
        <w:br/>
        <w:t>от общего количества проведенных контрольных (надзорных) мероприятий</w:t>
        <w:br/>
        <w:t>за отчетный период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4 (АППГ: 27), из них по части 1 ст. 19.5 КоАП РФ</w:t>
        <w:br/>
        <w:t>2 (АППГ: 11).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на одного государственного инспектора по пожарному надзору 0,05 (АППГ: 0,31).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1 (АППГ: 16), в виде предупреждения 1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постановлений о прекращении производства по делам </w:t>
        <w:br/>
        <w:t xml:space="preserve">об административных правонарушениях в области гражданской обороны, вынесенных судами, от общего количества вынесенных судами постановлений </w:t>
        <w:br/>
        <w:t>за отчетный период 0 % (АППГ: 0 %).</w:t>
      </w:r>
    </w:p>
    <w:p>
      <w:pPr>
        <w:pStyle w:val="Normal"/>
        <w:widowControl w:val="false"/>
        <w:rPr>
          <w:rFonts w:eastAsia="Courier New"/>
          <w:b/>
          <w:b/>
          <w:bCs/>
          <w:iCs/>
          <w:sz w:val="28"/>
          <w:szCs w:val="28"/>
          <w:lang w:bidi="ru-RU"/>
        </w:rPr>
      </w:pPr>
      <w:r>
        <w:rPr>
          <w:rFonts w:eastAsia="Courier New"/>
          <w:b/>
          <w:bCs/>
          <w:iCs/>
          <w:sz w:val="28"/>
          <w:szCs w:val="28"/>
          <w:lang w:bidi="ru-RU"/>
        </w:rPr>
      </w:r>
    </w:p>
    <w:p>
      <w:pPr>
        <w:pStyle w:val="5"/>
        <w:rPr>
          <w:rFonts w:eastAsia="Courier New" w:cs="Times New Roman"/>
          <w:szCs w:val="28"/>
          <w:lang w:bidi="ru-RU"/>
        </w:rPr>
      </w:pPr>
      <w:r>
        <w:rPr>
          <w:szCs w:val="28"/>
        </w:rPr>
        <w:t xml:space="preserve">Осуществление государственного надзора за реализацией органами государственной власти и органами местного самоуправления полномочий </w:t>
        <w:br/>
        <w:t>в области гражданской обороны</w:t>
      </w:r>
    </w:p>
    <w:p>
      <w:pPr>
        <w:pStyle w:val="Normal"/>
        <w:widowControl w:val="false"/>
        <w:jc w:val="center"/>
        <w:rPr>
          <w:rFonts w:eastAsia="Courier New"/>
          <w:b/>
          <w:b/>
          <w:bCs/>
          <w:iCs/>
          <w:sz w:val="22"/>
          <w:szCs w:val="28"/>
          <w:lang w:bidi="ru-RU"/>
        </w:rPr>
      </w:pPr>
      <w:r>
        <w:rPr>
          <w:rFonts w:eastAsia="Courier New"/>
          <w:b/>
          <w:bCs/>
          <w:iCs/>
          <w:sz w:val="22"/>
          <w:szCs w:val="28"/>
          <w:lang w:bidi="ru-RU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надзора, подлежащих государственному надзору</w:t>
        <w:br/>
        <w:t>за реализацией органами государственной власти и органами местного самоуправления полномочий в области гражданской обороны, составило 71 (АППГ: 69), в том числе: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(АППГ: 23) территориальных органов федеральных органов исполнительной власти;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(АППГ: 9) органов исполнительной власти субъекта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 (АППГ: 37) органов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223635" cy="2409825"/>
            <wp:effectExtent l="0" t="0" r="0" b="0"/>
            <wp:docPr id="2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>Рисунок 25. Количество объектов надзора, подлежащих государственному надзору</w:t>
        <w:br/>
        <w:t>за реализацией органами государственной власти и органами местного самоуправления полномочий в области гражданской обороны</w:t>
        <w:b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запланированных в отчетном периоде плановых проверок</w:t>
        <w:br/>
        <w:t>в отношении объектов надзора 0 (АППГ: 4).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 отчетном периоде проверок в отношении объектов надзора 3 (АППГ: 12), из них плановых 0 (АППГ: 4)</w:t>
        <w:br/>
        <w:t>и внеплановых 3 (АППГ: 8).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/>
        <w:drawing>
          <wp:inline distT="0" distB="0" distL="0" distR="0">
            <wp:extent cx="6283325" cy="2162175"/>
            <wp:effectExtent l="0" t="0" r="0" b="0"/>
            <wp:docPr id="2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Рисунок 26. Проверки в области гражданской обороны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выявленных нарушений по результатам проверок за отчетный период 3 (АППГ: 136).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по результатам проверок за отчетный период 3 (АППГ: 12).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 предписаний по результатам проверок за отчетный период составил 76 % (АППГ: 82,6 %).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неустраненных нарушений в области гражданской обороны                           в установленные предписаниями сроки от общего количества выявленных нарушений за отчетный период 24 % (АППГ: 17,4 %).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внесенных органами прокуратуры представлений, связанных </w:t>
        <w:br/>
        <w:t>с осуществлением надзорной деятельности в области гражданской обороны,               от общего количества проведенных проверок за отчетный период</w:t>
        <w:br/>
        <w:t>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составленных протоколов об административном правонарушении 3 (АППГ: 16), из них по части 1 ст. 19.5 КоАП РФ</w:t>
        <w:br/>
        <w:t>3 (АППГ: 9).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1 (АППГ: 12), в виде предупреждения 0 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постановлений о прекращении производства по делам </w:t>
        <w:br/>
        <w:t>об административных правонарушениях в области гражданской обороны, вынесенных судами, от общего количества вынесенных судами постановлений             за отчетный период,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rPr/>
      </w:pPr>
      <w:r>
        <w:rPr/>
        <w:t xml:space="preserve">Организация оперативного реагирования на сообщения </w:t>
        <w:br/>
        <w:t>о преступлениях и иных происшествиях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сотрудниками органов ГПН ФПС возбуждено уголовных дел 6 (0,8%) (АППГ: 2 (+200%), в том числе: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168 УК РФ 6 (1,2%) (АППГ: 2 (+200%);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219 УК РФ 0 (0%) (АППГ: 0 (0%);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261 УК РФ 0 (0%) (АППГ: 0 (0%);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иным статьям УК РФ 0 (0%) (АППГ: 0 (0%).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преступлений по ст. 168 УК РФ (количество уголовных дел, направленных в суд, материалов об отказе в возбуждении уголовных дел </w:t>
        <w:br/>
        <w:t xml:space="preserve">по нереабилитирующим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</w:t>
        <w:br/>
        <w:t>33,3 %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Раскрываемость преступлений по ч. 1 ст. 261 УК РФ (количество уголовных дел, направленных в суд, материалов об отказе в возбуждении уголовных дел по нереабилитирующим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преступлений по ч. 1 ст. 219 УК РФ (количество уголовных дел, направленных в суд, материалов об отказе в возбуждении уголовных дел </w:t>
        <w:br/>
        <w:t>по не 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</w:t>
        <w:br/>
        <w:t>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расследования (количество возвращенных уголовных дел </w:t>
        <w:br/>
        <w:t>в порядке ст. 237 УПК РФ * 100 / количество уголовных дел, направленных в суд) 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внесенных дознавателями представлений об устранении обстоятельств, способствовавших совершению преступлений (в соответствии с ч. 2 ст. 158 УПК РФ), от числа расследованных уголовных дел 200 % (АППГ: 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законности и обоснованности принятых процессуальных решений прокурорами отменено 12 постановлений об отказе </w:t>
        <w:br/>
        <w:t>в возбуждении уголовного дела, что составляет 4,08 % от общего их количества 294 (АППГ: 14 (-14,3 %).</w:t>
      </w:r>
    </w:p>
    <w:p>
      <w:pPr>
        <w:pStyle w:val="Normal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Количество внесенных прокурорами представлений об устранении нарушений, связанных с проведением проверок и производством дознания </w:t>
        <w:br/>
        <w:t>по делам о пожарах, 2 (АППГ: 1 (+100 %).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rPr/>
      </w:pPr>
      <w:r>
        <w:rPr/>
        <w:t>Предоставление государственных услуг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предоставлении </w:t>
      </w:r>
      <w:r>
        <w:rPr>
          <w:rFonts w:eastAsia="Calibri" w:eastAsiaTheme="minorHAnsi"/>
          <w:sz w:val="28"/>
          <w:szCs w:val="28"/>
          <w:lang w:eastAsia="en-US"/>
        </w:rPr>
        <w:t>государственных услуг (функций) в области пожарной безопасности: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количество предоставленных государственных услуг 237 </w:t>
      </w:r>
      <w:r>
        <w:rPr>
          <w:sz w:val="28"/>
          <w:szCs w:val="28"/>
        </w:rPr>
        <w:t>(АППГ: 543)</w:t>
      </w:r>
      <w:r>
        <w:rPr>
          <w:rFonts w:eastAsia="Calibri" w:eastAsiaTheme="minorHAnsi"/>
          <w:sz w:val="28"/>
          <w:szCs w:val="28"/>
          <w:lang w:eastAsia="en-US"/>
        </w:rPr>
        <w:t xml:space="preserve">, </w:t>
        <w:br/>
        <w:t xml:space="preserve">из них в электронном виде 106 </w:t>
      </w:r>
      <w:r>
        <w:rPr>
          <w:sz w:val="28"/>
          <w:szCs w:val="28"/>
        </w:rPr>
        <w:t>(АППГ: 40), в том числе: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количество поданных заявлений на предоставление лицензий </w:t>
        <w:br/>
        <w:t xml:space="preserve">по тушению пожаров в населенных пунктах, на производственных объектах </w:t>
        <w:br/>
        <w:t xml:space="preserve">и объектах инфраструктуры </w:t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 xml:space="preserve">(АППГ: 2), из них в электронном виде </w:t>
        <w:br/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>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количество поданных заявлений на предоставление лицензий </w:t>
        <w:br/>
        <w:t xml:space="preserve">по монтажу, техническому обслуживанию и ремонту средств обеспечения пожарной безопасности зданий и сооружений </w:t>
      </w:r>
      <w:r>
        <w:rPr>
          <w:rFonts w:eastAsia="Calibri" w:eastAsiaTheme="minorHAnsi"/>
          <w:sz w:val="28"/>
          <w:szCs w:val="28"/>
          <w:lang w:eastAsia="en-US"/>
        </w:rPr>
        <w:t xml:space="preserve">11 </w:t>
      </w:r>
      <w:r>
        <w:rPr>
          <w:sz w:val="28"/>
          <w:szCs w:val="28"/>
        </w:rPr>
        <w:t xml:space="preserve">(АППГ: 37), из них </w:t>
        <w:br/>
        <w:t xml:space="preserve">в электронном виде </w:t>
      </w:r>
      <w:r>
        <w:rPr>
          <w:rFonts w:eastAsia="Calibri" w:eastAsiaTheme="minorHAnsi"/>
          <w:sz w:val="28"/>
          <w:szCs w:val="28"/>
          <w:lang w:eastAsia="en-US"/>
        </w:rPr>
        <w:t xml:space="preserve">11 </w:t>
      </w:r>
      <w:r>
        <w:rPr>
          <w:sz w:val="28"/>
          <w:szCs w:val="28"/>
        </w:rPr>
        <w:t xml:space="preserve">(АППГ: 11);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количество рассмотренных специальных технических условий </w:t>
        <w:br/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 xml:space="preserve">(АППГ: 4), из них в электронном виде </w:t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>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количество принятых копий заключений о независимой оценке пожарного риска </w:t>
      </w:r>
      <w:r>
        <w:rPr>
          <w:rFonts w:eastAsia="Calibri" w:eastAsiaTheme="minorHAnsi"/>
          <w:sz w:val="28"/>
          <w:szCs w:val="28"/>
          <w:lang w:eastAsia="en-US"/>
        </w:rPr>
        <w:t xml:space="preserve">26 </w:t>
      </w:r>
      <w:r>
        <w:rPr>
          <w:sz w:val="28"/>
          <w:szCs w:val="28"/>
        </w:rPr>
        <w:t xml:space="preserve">(АППГ: 79), из них в электронном виде </w:t>
      </w:r>
      <w:r>
        <w:rPr>
          <w:rFonts w:eastAsia="Calibri" w:eastAsiaTheme="minorHAnsi"/>
          <w:sz w:val="28"/>
          <w:szCs w:val="28"/>
          <w:lang w:eastAsia="en-US"/>
        </w:rPr>
        <w:t xml:space="preserve">18 </w:t>
      </w:r>
      <w:r>
        <w:rPr>
          <w:sz w:val="28"/>
          <w:szCs w:val="28"/>
        </w:rPr>
        <w:t>(АППГ: 29);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количество зарегистрированных деклараций пожарной безопасности </w:t>
        <w:br/>
      </w:r>
      <w:r>
        <w:rPr>
          <w:rFonts w:eastAsia="Calibri" w:eastAsiaTheme="minorHAnsi"/>
          <w:sz w:val="28"/>
          <w:szCs w:val="28"/>
          <w:lang w:eastAsia="en-US"/>
        </w:rPr>
        <w:t xml:space="preserve">200 </w:t>
      </w:r>
      <w:r>
        <w:rPr>
          <w:sz w:val="28"/>
          <w:szCs w:val="28"/>
        </w:rPr>
        <w:t xml:space="preserve">(АППГ: 407), из них в электронном виде </w:t>
      </w:r>
      <w:r>
        <w:rPr>
          <w:rFonts w:eastAsia="Calibri" w:eastAsiaTheme="minorHAnsi"/>
          <w:sz w:val="28"/>
          <w:szCs w:val="28"/>
          <w:lang w:eastAsia="en-US"/>
        </w:rPr>
        <w:t xml:space="preserve">83 </w:t>
      </w:r>
      <w:r>
        <w:rPr>
          <w:sz w:val="28"/>
          <w:szCs w:val="28"/>
        </w:rPr>
        <w:t>(АППГ: 0);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количество представленной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</w:t>
        <w:br/>
        <w:t xml:space="preserve">от чрезвычайных ситуаций природного и техногенного характера и пожарной безопасности </w:t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 xml:space="preserve">(АППГ: 14), из них в электронном виде </w:t>
      </w:r>
      <w:r>
        <w:rPr>
          <w:rFonts w:eastAsia="Calibri" w:eastAsiaTheme="minorHAnsi"/>
          <w:sz w:val="28"/>
          <w:szCs w:val="28"/>
          <w:lang w:eastAsia="en-US"/>
        </w:rPr>
        <w:t xml:space="preserve">0 </w:t>
      </w:r>
      <w:r>
        <w:rPr>
          <w:sz w:val="28"/>
          <w:szCs w:val="28"/>
        </w:rPr>
        <w:t>(АППГ: 0).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Style w:val="FontStyle12"/>
          <w:sz w:val="24"/>
          <w:szCs w:val="28"/>
        </w:rPr>
      </w:pPr>
      <w:r>
        <w:rPr>
          <w:sz w:val="28"/>
        </w:rPr>
        <w:t>Выводы по разделу: Деятельность по осуществлению надзорных функций в области пожарной безопасности, гражданской обороны, защиты населения и территорий от ЧС на территории Курской области за 3 квартала 2022 года организована и провод</w:t>
      </w:r>
      <w:bookmarkStart w:id="0" w:name="_GoBack"/>
      <w:bookmarkEnd w:id="0"/>
      <w:r>
        <w:rPr>
          <w:sz w:val="28"/>
        </w:rPr>
        <w:t>ится на должном уровне.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eastAsia="Calibri"/>
          <w:sz w:val="28"/>
          <w:szCs w:val="28"/>
        </w:rPr>
      </w:pPr>
      <w:r>
        <w:rPr/>
      </w:r>
    </w:p>
    <w:sectPr>
      <w:headerReference w:type="default" r:id="rId12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0288791"/>
    </w:sdtPr>
    <w:sdtContent>
      <w:p>
        <w:pPr>
          <w:pStyle w:val="Style31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3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673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d632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e6a14"/>
    <w:pPr>
      <w:keepNext w:val="true"/>
      <w:keepLines/>
      <w:spacing w:before="40" w:after="0"/>
      <w:jc w:val="center"/>
      <w:outlineLvl w:val="1"/>
    </w:pPr>
    <w:rPr>
      <w:rFonts w:eastAsia="" w:cs="" w:cstheme="majorBidi" w:eastAsiaTheme="majorEastAsia"/>
      <w:b/>
      <w:sz w:val="28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e6611f"/>
    <w:pPr>
      <w:keepNext w:val="true"/>
      <w:keepLines/>
      <w:spacing w:before="40" w:after="0"/>
      <w:jc w:val="center"/>
      <w:outlineLvl w:val="2"/>
    </w:pPr>
    <w:rPr>
      <w:rFonts w:eastAsia="" w:cs="" w:cstheme="majorBidi" w:eastAsiaTheme="majorEastAsia"/>
      <w:b/>
      <w:sz w:val="28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e6611f"/>
    <w:pPr>
      <w:keepNext w:val="true"/>
      <w:keepLines/>
      <w:spacing w:before="40" w:after="0"/>
      <w:jc w:val="center"/>
      <w:outlineLvl w:val="3"/>
    </w:pPr>
    <w:rPr>
      <w:rFonts w:eastAsia="" w:cs="" w:cstheme="majorBidi" w:eastAsiaTheme="majorEastAsia"/>
      <w:b/>
      <w:iCs/>
      <w:sz w:val="28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2013a3"/>
    <w:pPr>
      <w:keepNext w:val="true"/>
      <w:keepLines/>
      <w:spacing w:before="40" w:after="0"/>
      <w:jc w:val="center"/>
      <w:outlineLvl w:val="4"/>
    </w:pPr>
    <w:rPr>
      <w:rFonts w:eastAsia="" w:cs="" w:cstheme="majorBidi" w:eastAsiaTheme="majorEastAsia"/>
      <w:b/>
      <w:sz w:val="28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7d130c"/>
    <w:pPr>
      <w:keepNext w:val="true"/>
      <w:keepLines/>
      <w:spacing w:before="40" w:after="0"/>
      <w:jc w:val="center"/>
      <w:outlineLvl w:val="5"/>
    </w:pPr>
    <w:rPr>
      <w:rFonts w:eastAsia="" w:cs="" w:cstheme="majorBidi" w:eastAsiaTheme="majorEastAsia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Без интервала Знак"/>
    <w:link w:val="a3"/>
    <w:uiPriority w:val="1"/>
    <w:qFormat/>
    <w:locked/>
    <w:rsid w:val="0094673b"/>
    <w:rPr>
      <w:rFonts w:ascii="Times New Roman" w:hAnsi="Times New Roman" w:eastAsia="Times New Roman" w:cs="Times New Roman"/>
      <w:lang w:eastAsia="ru-RU"/>
    </w:rPr>
  </w:style>
  <w:style w:type="character" w:styleId="Style9" w:customStyle="1">
    <w:name w:val="Абзац списка Знак"/>
    <w:link w:val="a6"/>
    <w:uiPriority w:val="34"/>
    <w:qFormat/>
    <w:locked/>
    <w:rsid w:val="009467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Основной текст_"/>
    <w:basedOn w:val="DefaultParagraphFont"/>
    <w:link w:val="12"/>
    <w:qFormat/>
    <w:locked/>
    <w:rsid w:val="00a5282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a52821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a86fe0"/>
    <w:rPr>
      <w:rFonts w:eastAsia="" w:eastAsiaTheme="minorEastAsia"/>
      <w:lang w:eastAsia="ru-RU"/>
    </w:rPr>
  </w:style>
  <w:style w:type="character" w:styleId="FontStyle21" w:customStyle="1">
    <w:name w:val="Font Style21"/>
    <w:uiPriority w:val="99"/>
    <w:qFormat/>
    <w:rsid w:val="00de4897"/>
    <w:rPr>
      <w:rFonts w:ascii="Cambria" w:hAnsi="Cambria" w:cs="Cambria"/>
      <w:sz w:val="24"/>
      <w:szCs w:val="24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60342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65" w:customStyle="1">
    <w:name w:val="Font Style65"/>
    <w:uiPriority w:val="99"/>
    <w:qFormat/>
    <w:rsid w:val="008f1e81"/>
    <w:rPr>
      <w:rFonts w:ascii="Times New Roman" w:hAnsi="Times New Roman"/>
      <w:sz w:val="24"/>
    </w:rPr>
  </w:style>
  <w:style w:type="character" w:styleId="11" w:customStyle="1">
    <w:name w:val="Заголовок 1 Знак"/>
    <w:basedOn w:val="DefaultParagraphFont"/>
    <w:link w:val="1"/>
    <w:qFormat/>
    <w:rsid w:val="008d6324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3" w:customStyle="1">
    <w:name w:val="Основной текст + Не полужирный"/>
    <w:qFormat/>
    <w:rsid w:val="008d6324"/>
    <w:rPr>
      <w:rFonts w:ascii="Times New Roman" w:hAnsi="Times New Roman" w:cs="Times New Roman"/>
      <w:b/>
      <w:bCs/>
      <w:color w:val="000000"/>
      <w:spacing w:val="-3"/>
      <w:w w:val="100"/>
      <w:sz w:val="26"/>
      <w:szCs w:val="26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4c6e6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Текст сноски Знак"/>
    <w:basedOn w:val="DefaultParagraphFont"/>
    <w:link w:val="af0"/>
    <w:uiPriority w:val="99"/>
    <w:qFormat/>
    <w:rsid w:val="009f4b4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9f4b4f"/>
    <w:rPr>
      <w:vertAlign w:val="superscript"/>
    </w:rPr>
  </w:style>
  <w:style w:type="character" w:styleId="FontStyle12" w:customStyle="1">
    <w:name w:val="Font Style12"/>
    <w:uiPriority w:val="99"/>
    <w:qFormat/>
    <w:rsid w:val="00ed6ced"/>
    <w:rPr>
      <w:rFonts w:ascii="Times New Roman" w:hAnsi="Times New Roman" w:cs="Times New Roman"/>
      <w:sz w:val="26"/>
      <w:szCs w:val="26"/>
    </w:rPr>
  </w:style>
  <w:style w:type="character" w:styleId="Style17" w:customStyle="1">
    <w:name w:val="Название Знак"/>
    <w:basedOn w:val="DefaultParagraphFont"/>
    <w:link w:val="af4"/>
    <w:qFormat/>
    <w:rsid w:val="007302b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концевой сноски Знак"/>
    <w:basedOn w:val="DefaultParagraphFont"/>
    <w:link w:val="af7"/>
    <w:uiPriority w:val="99"/>
    <w:semiHidden/>
    <w:qFormat/>
    <w:rsid w:val="007b624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b624c"/>
    <w:rPr>
      <w:vertAlign w:val="superscript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5e6a14"/>
    <w:rPr>
      <w:rFonts w:ascii="Times New Roman" w:hAnsi="Times New Roman" w:eastAsia="" w:cs="" w:cstheme="majorBidi" w:eastAsiaTheme="majorEastAsia"/>
      <w:b/>
      <w:sz w:val="28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e6611f"/>
    <w:rPr>
      <w:rFonts w:ascii="Times New Roman" w:hAnsi="Times New Roman" w:eastAsia="" w:cs="" w:cstheme="majorBidi" w:eastAsiaTheme="majorEastAsia"/>
      <w:b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e6611f"/>
    <w:rPr>
      <w:rFonts w:ascii="Times New Roman" w:hAnsi="Times New Roman" w:eastAsia="" w:cs="" w:cstheme="majorBidi" w:eastAsiaTheme="majorEastAsia"/>
      <w:b/>
      <w:iCs/>
      <w:sz w:val="28"/>
      <w:szCs w:val="24"/>
      <w:lang w:eastAsia="ru-RU"/>
    </w:rPr>
  </w:style>
  <w:style w:type="character" w:styleId="Style20">
    <w:name w:val="Интернет-ссылка"/>
    <w:basedOn w:val="DefaultParagraphFont"/>
    <w:uiPriority w:val="99"/>
    <w:unhideWhenUsed/>
    <w:rsid w:val="00941b67"/>
    <w:rPr>
      <w:color w:val="0000FF" w:themeColor="hyperlink"/>
      <w:u w:val="single"/>
    </w:rPr>
  </w:style>
  <w:style w:type="character" w:styleId="12" w:customStyle="1">
    <w:name w:val="Стиль1 Знак"/>
    <w:basedOn w:val="DefaultParagraphFont"/>
    <w:link w:val="14"/>
    <w:qFormat/>
    <w:rsid w:val="00941b6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941b67"/>
    <w:rPr>
      <w:color w:val="800080" w:themeColor="followedHyperlink"/>
      <w:u w:val="singl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2013a3"/>
    <w:rPr>
      <w:rFonts w:ascii="Times New Roman" w:hAnsi="Times New Roman" w:eastAsia="" w:cs="" w:cstheme="majorBidi" w:eastAsiaTheme="majorEastAsia"/>
      <w:b/>
      <w:sz w:val="28"/>
      <w:szCs w:val="24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7d130c"/>
    <w:rPr>
      <w:rFonts w:ascii="Times New Roman" w:hAnsi="Times New Roman" w:eastAsia="" w:cs="" w:cstheme="majorBidi" w:eastAsiaTheme="majorEastAsia"/>
      <w:b/>
      <w:sz w:val="28"/>
      <w:szCs w:val="24"/>
      <w:lang w:eastAsia="ru-RU"/>
    </w:rPr>
  </w:style>
  <w:style w:type="character" w:styleId="Style22" w:customStyle="1">
    <w:name w:val="Основной текст с отступом Знак"/>
    <w:basedOn w:val="DefaultParagraphFont"/>
    <w:link w:val="afc"/>
    <w:qFormat/>
    <w:rsid w:val="00b66f70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7664"/>
    <w:rPr>
      <w:sz w:val="16"/>
      <w:szCs w:val="16"/>
    </w:rPr>
  </w:style>
  <w:style w:type="character" w:styleId="Style23" w:customStyle="1">
    <w:name w:val="Текст примечания Знак"/>
    <w:basedOn w:val="DefaultParagraphFont"/>
    <w:link w:val="aff"/>
    <w:uiPriority w:val="99"/>
    <w:semiHidden/>
    <w:qFormat/>
    <w:rsid w:val="00fc766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4" w:customStyle="1">
    <w:name w:val="Тема примечания Знак"/>
    <w:basedOn w:val="Style23"/>
    <w:link w:val="aff1"/>
    <w:uiPriority w:val="99"/>
    <w:semiHidden/>
    <w:qFormat/>
    <w:rsid w:val="00fc7664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2115pt" w:customStyle="1">
    <w:name w:val="Основной текст (2) + 11;5 pt;Не полужирный"/>
    <w:basedOn w:val="DefaultParagraphFont"/>
    <w:qFormat/>
    <w:rsid w:val="00c42e4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>
      <w:rFonts w:ascii="PT Sans" w:hAnsi="PT Sans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link w:val="a4"/>
    <w:uiPriority w:val="1"/>
    <w:qFormat/>
    <w:rsid w:val="0094673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ru-RU" w:val="ru-RU" w:bidi="ar-SA"/>
    </w:rPr>
  </w:style>
  <w:style w:type="paragraph" w:styleId="ListParagraph">
    <w:name w:val="List Paragraph"/>
    <w:basedOn w:val="Normal"/>
    <w:link w:val="a5"/>
    <w:uiPriority w:val="34"/>
    <w:qFormat/>
    <w:rsid w:val="0094673b"/>
    <w:pPr>
      <w:spacing w:before="0" w:after="0"/>
      <w:ind w:left="720" w:hanging="0"/>
      <w:contextualSpacing/>
    </w:pPr>
    <w:rPr/>
  </w:style>
  <w:style w:type="paragraph" w:styleId="13" w:customStyle="1">
    <w:name w:val="Заголовок 1 ДОКЛАД"/>
    <w:basedOn w:val="Normal"/>
    <w:uiPriority w:val="99"/>
    <w:qFormat/>
    <w:rsid w:val="0094673b"/>
    <w:pPr>
      <w:spacing w:before="0" w:after="240"/>
      <w:jc w:val="center"/>
    </w:pPr>
    <w:rPr>
      <w:b/>
      <w:bCs/>
      <w:kern w:val="2"/>
      <w:sz w:val="28"/>
      <w:szCs w:val="28"/>
    </w:rPr>
  </w:style>
  <w:style w:type="paragraph" w:styleId="ConsNormal" w:customStyle="1">
    <w:name w:val="ConsNormal"/>
    <w:qFormat/>
    <w:rsid w:val="00cf66fc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14" w:customStyle="1">
    <w:name w:val="Основной текст1"/>
    <w:basedOn w:val="Normal"/>
    <w:link w:val="a7"/>
    <w:qFormat/>
    <w:rsid w:val="00a52821"/>
    <w:pPr>
      <w:jc w:val="both"/>
    </w:pPr>
    <w:rPr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a52821"/>
    <w:pPr/>
    <w:rPr>
      <w:i/>
      <w:iCs/>
      <w:color w:val="00000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9"/>
    <w:uiPriority w:val="99"/>
    <w:unhideWhenUsed/>
    <w:rsid w:val="00a86fe0"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210" w:customStyle="1">
    <w:name w:val="Style2"/>
    <w:basedOn w:val="Normal"/>
    <w:uiPriority w:val="99"/>
    <w:qFormat/>
    <w:rsid w:val="00de4897"/>
    <w:pPr>
      <w:widowControl w:val="false"/>
      <w:spacing w:lineRule="exact" w:line="326"/>
      <w:ind w:firstLine="739"/>
      <w:jc w:val="both"/>
    </w:pPr>
    <w:rPr>
      <w:rFonts w:ascii="Cambria" w:hAnsi="Cambria"/>
    </w:rPr>
  </w:style>
  <w:style w:type="paragraph" w:styleId="Style32">
    <w:name w:val="Footer"/>
    <w:basedOn w:val="Normal"/>
    <w:link w:val="ab"/>
    <w:uiPriority w:val="99"/>
    <w:unhideWhenUsed/>
    <w:rsid w:val="0060342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81" w:customStyle="1">
    <w:name w:val="Style8"/>
    <w:basedOn w:val="Normal"/>
    <w:uiPriority w:val="99"/>
    <w:qFormat/>
    <w:rsid w:val="008f1e81"/>
    <w:pPr>
      <w:widowControl w:val="false"/>
      <w:spacing w:lineRule="exact" w:line="288"/>
      <w:ind w:firstLine="857"/>
      <w:jc w:val="both"/>
    </w:pPr>
    <w:rPr>
      <w:rFonts w:eastAsia="Calibri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4c6e66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5502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33">
    <w:name w:val="Footnote Text"/>
    <w:basedOn w:val="Normal"/>
    <w:link w:val="af1"/>
    <w:uiPriority w:val="99"/>
    <w:unhideWhenUsed/>
    <w:rsid w:val="009f4b4f"/>
    <w:pPr/>
    <w:rPr>
      <w:sz w:val="20"/>
      <w:szCs w:val="20"/>
    </w:rPr>
  </w:style>
  <w:style w:type="paragraph" w:styleId="ConsPlusNormal" w:customStyle="1">
    <w:name w:val="ConsPlusNormal"/>
    <w:qFormat/>
    <w:rsid w:val="00620d47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34" w:customStyle="1">
    <w:name w:val="Заголовок !"/>
    <w:basedOn w:val="ListParagraph"/>
    <w:qFormat/>
    <w:rsid w:val="00ca27a4"/>
    <w:pPr>
      <w:tabs>
        <w:tab w:val="clear" w:pos="709"/>
        <w:tab w:val="left" w:pos="851" w:leader="none"/>
        <w:tab w:val="left" w:pos="1134" w:leader="none"/>
      </w:tabs>
      <w:suppressAutoHyphens w:val="true"/>
      <w:spacing w:lineRule="auto" w:line="276"/>
      <w:ind w:left="0" w:hanging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Style35">
    <w:name w:val="Title"/>
    <w:basedOn w:val="Normal"/>
    <w:link w:val="af5"/>
    <w:qFormat/>
    <w:rsid w:val="007302b2"/>
    <w:pPr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qFormat/>
    <w:rsid w:val="00de1e08"/>
    <w:pPr>
      <w:spacing w:beforeAutospacing="1" w:afterAutospacing="1"/>
    </w:pPr>
    <w:rPr/>
  </w:style>
  <w:style w:type="paragraph" w:styleId="Style36">
    <w:name w:val="Endnote Text"/>
    <w:basedOn w:val="Normal"/>
    <w:link w:val="af8"/>
    <w:uiPriority w:val="99"/>
    <w:semiHidden/>
    <w:unhideWhenUsed/>
    <w:rsid w:val="007b624c"/>
    <w:pPr/>
    <w:rPr>
      <w:sz w:val="20"/>
      <w:szCs w:val="20"/>
    </w:rPr>
  </w:style>
  <w:style w:type="paragraph" w:styleId="15" w:customStyle="1">
    <w:name w:val="Стиль1"/>
    <w:basedOn w:val="Normal"/>
    <w:link w:val="15"/>
    <w:qFormat/>
    <w:rsid w:val="00941b67"/>
    <w:pPr>
      <w:jc w:val="both"/>
    </w:pPr>
    <w:rPr>
      <w:sz w:val="28"/>
      <w:szCs w:val="28"/>
    </w:rPr>
  </w:style>
  <w:style w:type="paragraph" w:styleId="Style37">
    <w:name w:val="Body Text Indent"/>
    <w:basedOn w:val="Normal"/>
    <w:link w:val="afd"/>
    <w:rsid w:val="00b66f70"/>
    <w:pPr>
      <w:spacing w:before="0" w:after="120"/>
      <w:ind w:left="283" w:hanging="0"/>
    </w:pPr>
    <w:rPr>
      <w:rFonts w:eastAsia="Calibri"/>
    </w:rPr>
  </w:style>
  <w:style w:type="paragraph" w:styleId="Annotationtext">
    <w:name w:val="annotation text"/>
    <w:basedOn w:val="Normal"/>
    <w:link w:val="aff0"/>
    <w:uiPriority w:val="99"/>
    <w:semiHidden/>
    <w:unhideWhenUsed/>
    <w:qFormat/>
    <w:rsid w:val="00fc766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2"/>
    <w:uiPriority w:val="99"/>
    <w:semiHidden/>
    <w:unhideWhenUsed/>
    <w:qFormat/>
    <w:rsid w:val="00fc7664"/>
    <w:pPr/>
    <w:rPr>
      <w:b/>
      <w:bCs/>
    </w:rPr>
  </w:style>
  <w:style w:type="paragraph" w:styleId="Style38" w:customStyle="1">
    <w:name w:val="Содержимое таблицы"/>
    <w:basedOn w:val="Normal"/>
    <w:qFormat/>
    <w:rsid w:val="004139d5"/>
    <w:pPr>
      <w:suppressLineNumbers/>
      <w:suppressAutoHyphens w:val="true"/>
    </w:pPr>
    <w:rPr/>
  </w:style>
  <w:style w:type="paragraph" w:styleId="Style3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657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rsid w:val="006e47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200a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39"/>
    <w:rsid w:val="006b5bd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4"/>
    <w:basedOn w:val="a1"/>
    <w:uiPriority w:val="39"/>
    <w:rsid w:val="006b5b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"/>
    <w:basedOn w:val="a1"/>
    <w:uiPriority w:val="39"/>
    <w:rsid w:val="004139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Сетка таблицы51"/>
    <w:basedOn w:val="a1"/>
    <w:uiPriority w:val="39"/>
    <w:rsid w:val="004139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Сетка таблицы6"/>
    <w:basedOn w:val="a1"/>
    <w:uiPriority w:val="39"/>
    <w:rsid w:val="004139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7"/>
    <w:basedOn w:val="a1"/>
    <w:uiPriority w:val="39"/>
    <w:rsid w:val="004139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uiPriority w:val="59"/>
    <w:rsid w:val="00a37d4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chart" Target="charts/chart10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0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1054375"/>
          <c:y val="0.116111111111111"/>
          <c:w val="0.8331875"/>
          <c:h val="0.729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417</c:v>
                </c:pt>
                <c:pt idx="1">
                  <c:v>46</c:v>
                </c:pt>
                <c:pt idx="2">
                  <c:v>19</c:v>
                </c:pt>
                <c:pt idx="3">
                  <c:v>77</c:v>
                </c:pt>
                <c:pt idx="4">
                  <c:v>272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4834</c:v>
                </c:pt>
                <c:pt idx="1">
                  <c:v>60</c:v>
                </c:pt>
                <c:pt idx="2">
                  <c:v>33</c:v>
                </c:pt>
                <c:pt idx="3">
                  <c:v>106</c:v>
                </c:pt>
                <c:pt idx="4">
                  <c:v>300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5217</c:v>
                </c:pt>
                <c:pt idx="1">
                  <c:v>50</c:v>
                </c:pt>
                <c:pt idx="2">
                  <c:v>22</c:v>
                </c:pt>
                <c:pt idx="3">
                  <c:v>154</c:v>
                </c:pt>
                <c:pt idx="4">
                  <c:v>408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5"/>
                <c:pt idx="0">
                  <c:v>3908</c:v>
                </c:pt>
                <c:pt idx="1">
                  <c:v>51</c:v>
                </c:pt>
                <c:pt idx="2">
                  <c:v>22</c:v>
                </c:pt>
                <c:pt idx="3">
                  <c:v>123</c:v>
                </c:pt>
                <c:pt idx="4">
                  <c:v>274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5"/>
                <c:pt idx="0">
                  <c:v>2636</c:v>
                </c:pt>
                <c:pt idx="1">
                  <c:v>57</c:v>
                </c:pt>
                <c:pt idx="2">
                  <c:v>17</c:v>
                </c:pt>
                <c:pt idx="3">
                  <c:v>106</c:v>
                </c:pt>
                <c:pt idx="4">
                  <c:v>237</c:v>
                </c:pt>
              </c:numCache>
            </c:numRef>
          </c:val>
        </c:ser>
        <c:gapWidth val="150"/>
        <c:overlap val="0"/>
        <c:axId val="29674719"/>
        <c:axId val="54943785"/>
      </c:barChart>
      <c:catAx>
        <c:axId val="2967471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4943785"/>
        <c:crosses val="autoZero"/>
        <c:auto val="1"/>
        <c:lblAlgn val="ctr"/>
        <c:lblOffset val="100"/>
        <c:noMultiLvlLbl val="0"/>
      </c:catAx>
      <c:valAx>
        <c:axId val="54943785"/>
        <c:scaling>
          <c:orientation val="minMax"/>
          <c:max val="60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9674719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875"/>
          <c:y val="0.0717777777777778"/>
          <c:w val="0.9354375"/>
          <c:h val="0.729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gapWidth val="150"/>
        <c:overlap val="0"/>
        <c:axId val="68507134"/>
        <c:axId val="62409582"/>
      </c:barChart>
      <c:catAx>
        <c:axId val="68507134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2409582"/>
        <c:crosses val="autoZero"/>
        <c:auto val="1"/>
        <c:lblAlgn val="ctr"/>
        <c:lblOffset val="100"/>
        <c:noMultiLvlLbl val="0"/>
      </c:catAx>
      <c:valAx>
        <c:axId val="62409582"/>
        <c:scaling>
          <c:orientation val="minMax"/>
          <c:max val="5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8507134"/>
        <c:crosses val="autoZero"/>
        <c:crossBetween val="between"/>
      </c:valAx>
      <c:spPr>
        <a:solidFill>
          <a:srgbClr val="ffffff"/>
        </a:solidFill>
        <a:ln>
          <a:solidFill>
            <a:srgbClr val="000000"/>
          </a:solidFill>
        </a:ln>
      </c:spPr>
    </c:plotArea>
    <c:plotVisOnly val="1"/>
    <c:dispBlanksAs val="gap"/>
  </c:chart>
  <c:spPr>
    <a:solidFill>
      <a:srgbClr val="ffffff"/>
    </a:solidFill>
    <a:ln w="9360">
      <a:solidFill>
        <a:srgbClr val="808080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775"/>
          <c:y val="0.111555555555556"/>
          <c:w val="0.9285"/>
          <c:h val="0.68144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Width val="150"/>
        <c:overlap val="0"/>
        <c:axId val="1973584"/>
        <c:axId val="72051975"/>
      </c:barChart>
      <c:catAx>
        <c:axId val="1973584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5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72051975"/>
        <c:crosses val="autoZero"/>
        <c:auto val="1"/>
        <c:lblAlgn val="ctr"/>
        <c:lblOffset val="100"/>
        <c:noMultiLvlLbl val="0"/>
      </c:catAx>
      <c:valAx>
        <c:axId val="72051975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8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973584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70125"/>
          <c:y val="0.125222222222222"/>
          <c:w val="0.920375"/>
          <c:h val="0.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76</c:v>
                </c:pt>
                <c:pt idx="1">
                  <c:v>102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76</c:v>
                </c:pt>
                <c:pt idx="1">
                  <c:v>102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42</c:v>
                </c:pt>
                <c:pt idx="1">
                  <c:v>102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42</c:v>
                </c:pt>
                <c:pt idx="1">
                  <c:v>82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36</c:v>
                </c:pt>
                <c:pt idx="1">
                  <c:v>82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50"/>
        <c:overlap val="0"/>
        <c:axId val="40478544"/>
        <c:axId val="32400704"/>
      </c:barChart>
      <c:catAx>
        <c:axId val="40478544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2400704"/>
        <c:crosses val="autoZero"/>
        <c:auto val="1"/>
        <c:lblAlgn val="ctr"/>
        <c:lblOffset val="100"/>
        <c:noMultiLvlLbl val="0"/>
      </c:catAx>
      <c:valAx>
        <c:axId val="32400704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0478544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875"/>
          <c:y val="0.0717777777777778"/>
          <c:w val="0.9354375"/>
          <c:h val="0.729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10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16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gapWidth val="150"/>
        <c:overlap val="0"/>
        <c:axId val="71333626"/>
        <c:axId val="24779428"/>
      </c:barChart>
      <c:catAx>
        <c:axId val="71333626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4779428"/>
        <c:crosses val="autoZero"/>
        <c:auto val="1"/>
        <c:lblAlgn val="ctr"/>
        <c:lblOffset val="100"/>
        <c:noMultiLvlLbl val="0"/>
      </c:catAx>
      <c:valAx>
        <c:axId val="24779428"/>
        <c:scaling>
          <c:orientation val="minMax"/>
          <c:max val="5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1333626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70125"/>
          <c:y val="0.125222222222222"/>
          <c:w val="0.920375"/>
          <c:h val="0.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22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22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22</c:v>
                </c:pt>
                <c:pt idx="1">
                  <c:v>31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23</c:v>
                </c:pt>
                <c:pt idx="1">
                  <c:v>8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23</c:v>
                </c:pt>
                <c:pt idx="1">
                  <c:v>8</c:v>
                </c:pt>
              </c:numCache>
            </c:numRef>
          </c:val>
        </c:ser>
        <c:gapWidth val="150"/>
        <c:overlap val="0"/>
        <c:axId val="55750975"/>
        <c:axId val="60005331"/>
      </c:barChart>
      <c:catAx>
        <c:axId val="55750975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0005331"/>
        <c:crosses val="autoZero"/>
        <c:auto val="1"/>
        <c:lblAlgn val="ctr"/>
        <c:lblOffset val="100"/>
        <c:noMultiLvlLbl val="0"/>
      </c:catAx>
      <c:valAx>
        <c:axId val="60005331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5750975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875"/>
          <c:y val="0.0717777777777778"/>
          <c:w val="0.9354375"/>
          <c:h val="0.729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gapWidth val="150"/>
        <c:overlap val="0"/>
        <c:axId val="68170717"/>
        <c:axId val="19746031"/>
      </c:barChart>
      <c:catAx>
        <c:axId val="68170717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9746031"/>
        <c:crosses val="autoZero"/>
        <c:auto val="1"/>
        <c:lblAlgn val="ctr"/>
        <c:lblOffset val="100"/>
        <c:noMultiLvlLbl val="0"/>
      </c:catAx>
      <c:valAx>
        <c:axId val="19746031"/>
        <c:scaling>
          <c:orientation val="minMax"/>
          <c:max val="5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8170717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3875"/>
          <c:y val="0.0717777777777778"/>
          <c:w val="0.9353125"/>
          <c:h val="0.76977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77</c:v>
                </c:pt>
                <c:pt idx="1">
                  <c:v>20</c:v>
                </c:pt>
                <c:pt idx="2">
                  <c:v>449</c:v>
                </c:pt>
                <c:pt idx="3">
                  <c:v>1009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77</c:v>
                </c:pt>
                <c:pt idx="1">
                  <c:v>20</c:v>
                </c:pt>
                <c:pt idx="2">
                  <c:v>449</c:v>
                </c:pt>
                <c:pt idx="3">
                  <c:v>1009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42</c:v>
                </c:pt>
                <c:pt idx="1">
                  <c:v>20</c:v>
                </c:pt>
                <c:pt idx="2">
                  <c:v>448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42</c:v>
                </c:pt>
                <c:pt idx="1">
                  <c:v>22</c:v>
                </c:pt>
                <c:pt idx="2">
                  <c:v>186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Объекты надзора, отнесенные к категории высокого риска</c:v>
                </c:pt>
                <c:pt idx="1">
                  <c:v>Объекты надзора, отнесенные к категории значительного риска</c:v>
                </c:pt>
                <c:pt idx="2">
                  <c:v>Объекты надзора, отнесенные к категории среднего риска</c:v>
                </c:pt>
                <c:pt idx="3">
                  <c:v>Объекты надзора, отнесенные к категории низкого риска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36</c:v>
                </c:pt>
                <c:pt idx="1">
                  <c:v>25</c:v>
                </c:pt>
                <c:pt idx="2">
                  <c:v>643</c:v>
                </c:pt>
                <c:pt idx="3">
                  <c:v>0</c:v>
                </c:pt>
              </c:numCache>
            </c:numRef>
          </c:val>
        </c:ser>
        <c:gapWidth val="150"/>
        <c:overlap val="0"/>
        <c:axId val="72289828"/>
        <c:axId val="96765209"/>
      </c:barChart>
      <c:catAx>
        <c:axId val="72289828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6765209"/>
        <c:crosses val="autoZero"/>
        <c:auto val="1"/>
        <c:lblAlgn val="ctr"/>
        <c:lblOffset val="100"/>
        <c:noMultiLvlLbl val="0"/>
      </c:catAx>
      <c:valAx>
        <c:axId val="96765209"/>
        <c:scaling>
          <c:orientation val="minMax"/>
          <c:max val="140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72289828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8"/>
          <c:y val="0.0717777777777778"/>
          <c:w val="0.93125"/>
          <c:h val="0.729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35</c:v>
                </c:pt>
                <c:pt idx="1">
                  <c:v>13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Плановые контрольные (надзорные) мероприятия</c:v>
                </c:pt>
                <c:pt idx="1">
                  <c:v>Внеплановые контрольные (надзорные) мероприятия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gapWidth val="150"/>
        <c:overlap val="0"/>
        <c:axId val="84644373"/>
        <c:axId val="98059440"/>
      </c:barChart>
      <c:catAx>
        <c:axId val="8464437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8059440"/>
        <c:crosses val="autoZero"/>
        <c:auto val="1"/>
        <c:lblAlgn val="ctr"/>
        <c:lblOffset val="100"/>
        <c:noMultiLvlLbl val="0"/>
      </c:catAx>
      <c:valAx>
        <c:axId val="98059440"/>
        <c:scaling>
          <c:orientation val="minMax"/>
          <c:max val="5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4644373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70125"/>
          <c:y val="0.125222222222222"/>
          <c:w val="0.920375"/>
          <c:h val="0.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595959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  <c:pt idx="2">
                  <c:v>Органы местного самоуправления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22</c:v>
                </c:pt>
                <c:pt idx="1">
                  <c:v>31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6a6a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  <c:pt idx="2">
                  <c:v>Органы местного самоуправления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22</c:v>
                </c:pt>
                <c:pt idx="1">
                  <c:v>31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  <c:pt idx="2">
                  <c:v>Органы местного самоуправления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22</c:v>
                </c:pt>
                <c:pt idx="1">
                  <c:v>31</c:v>
                </c:pt>
                <c:pt idx="2">
                  <c:v>37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  <c:pt idx="2">
                  <c:v>Органы местного самоуправления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3"/>
                <c:pt idx="0">
                  <c:v>23</c:v>
                </c:pt>
                <c:pt idx="1">
                  <c:v>9</c:v>
                </c:pt>
                <c:pt idx="2">
                  <c:v>37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rgbClr val="000000"/>
              </a:solidFill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Территориальные органы ФОИВ</c:v>
                </c:pt>
                <c:pt idx="1">
                  <c:v>Органы исполнительной власти субъектов РФ</c:v>
                </c:pt>
                <c:pt idx="2">
                  <c:v>Органы местного самоуправления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58</c:v>
                </c:pt>
              </c:numCache>
            </c:numRef>
          </c:val>
        </c:ser>
        <c:gapWidth val="150"/>
        <c:overlap val="0"/>
        <c:axId val="97187650"/>
        <c:axId val="20092524"/>
      </c:barChart>
      <c:catAx>
        <c:axId val="97187650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0092524"/>
        <c:crosses val="autoZero"/>
        <c:auto val="1"/>
        <c:lblAlgn val="ctr"/>
        <c:lblOffset val="100"/>
        <c:noMultiLvlLbl val="0"/>
      </c:catAx>
      <c:valAx>
        <c:axId val="20092524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7187650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99CF-7577-400D-8BBD-C540429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LibreOffice/6.4.7.2$Linux_X86_64 LibreOffice_project/72d9d5113b23a0ed474720f9d366fcde9a2744dd</Application>
  <Pages>14</Pages>
  <Words>2892</Words>
  <Characters>19456</Characters>
  <CharactersWithSpaces>22298</CharactersWithSpaces>
  <Paragraphs>175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2022-06-23T12:09:00Z</dcterms:created>
  <dc:creator>Старший инспектор - Федосов С.С.</dc:creator>
  <dc:description/>
  <dc:language>ru-RU</dc:language>
  <cp:lastModifiedBy/>
  <cp:lastPrinted>2022-10-04T14:17:00Z</cp:lastPrinted>
  <dcterms:modified xsi:type="dcterms:W3CDTF">2022-10-27T12:04:15Z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